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个部门,统计时间:2022-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-01 至2022-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26274</w:t>
      </w:r>
      <w:r>
        <w:rPr>
          <w:rFonts w:hint="eastAsia" w:ascii="Times New Roman" w:hAnsi="Times New Roman" w:eastAsia="宋体" w:cs="Times New Roman"/>
        </w:rPr>
        <w:t>笔，办结26181笔，办结率</w:t>
      </w:r>
      <w:r>
        <w:rPr>
          <w:rFonts w:hint="eastAsia" w:cs="Times New Roman"/>
          <w:lang w:val="en-US" w:eastAsia="zh-CN"/>
        </w:rPr>
        <w:t xml:space="preserve">99.65%。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99.67%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94.15%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ThmNmEzZjg3YjA0ZjkxNjc3MzMyN2IxYmM5YzIifQ=="/>
  </w:docVars>
  <w:rsids>
    <w:rsidRoot w:val="00000000"/>
    <w:rsid w:val="08310BA4"/>
    <w:rsid w:val="3FC418F5"/>
    <w:rsid w:val="44581FA1"/>
    <w:rsid w:val="48693AD0"/>
    <w:rsid w:val="510B764C"/>
    <w:rsid w:val="53C2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720</Characters>
  <Lines>1</Lines>
  <Paragraphs>1</Paragraphs>
  <TotalTime>2</TotalTime>
  <ScaleCrop>false</ScaleCrop>
  <LinksUpToDate>false</LinksUpToDate>
  <CharactersWithSpaces>725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2022-12-30T02:19:36Z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EA333D67ED9C410A9B52EC660E9D0278</vt:lpwstr>
  </property>
</Properties>
</file>