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5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154305</wp:posOffset>
            </wp:positionV>
            <wp:extent cx="5461635" cy="1783715"/>
            <wp:effectExtent l="0" t="0" r="5715" b="6985"/>
            <wp:wrapNone/>
            <wp:docPr id="1" name="图片 8" descr="西平县政务服务和大数据管理局文件红头 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西平县政务服务和大数据管理局文件红头 W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1635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1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1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西政数〔202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〕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关于印发《西平县政务服务大厅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开展“信易批”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试行）》的通知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县直各进驻单位：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为进一步推进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西平县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信用体系建设，不断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提升便民惠企水平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现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将“信易批”与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政务服务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相结合。将信用信息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嵌入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审批流程，信用越好，审批越快。特制定方案如下：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2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一、指导思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深入贯彻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习近平新时代中国特色社会主义思想，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加快构建政府、社会共同参与的守信联合激励机制，加大对诚信主体激励力度，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让企业和群众享受到信用红利，提升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公众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对信用建设获得感，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引导全社会形成“信用有价、守信有益”的良好氛围。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2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二、主要措施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在“一网通办”审批系统中嵌入“联合奖惩记录”，没有不良记录、信用状况良好的主体可享受优先办理，同时，可享受县政务服务大厅梳理出来的容缺受理、告知承诺等便利服务措施，让信用信息“多跑路”，让诚信主体“少跑腿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2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>（一）加强组织领导。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相关部门要充分认识“信易批”工作的重要意义，将其作为我县社会信用体系建设的重要内容，共同推进“信易批”工作有序开展。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>（二）加大宣传，营造氛围。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积极与新闻媒体合作，加大正面宣传力度，挖掘诚信典范，在全社会广泛形成诚信的良好社会氛围。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4590" w:firstLineChars="1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2021年6月8日</w:t>
      </w:r>
    </w:p>
    <w:sectPr>
      <w:footerReference r:id="rId3" w:type="default"/>
      <w:pgSz w:w="11906" w:h="16838"/>
      <w:pgMar w:top="2154" w:right="1587" w:bottom="2154" w:left="1701" w:header="851" w:footer="1701" w:gutter="0"/>
      <w:pgNumType w:fmt="decimal"/>
      <w:cols w:space="720" w:num="1"/>
      <w:rtlGutter w:val="0"/>
      <w:docGrid w:type="linesAndChars" w:linePitch="569" w:charSpace="-28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DBFA43-F765-4034-853B-7A171D379601}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9F2375E-D7CE-403A-826D-467329E3692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69D55F7-03EA-4817-8456-A17F7F10F7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7692B05-9951-4CF3-8C18-00A305F836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ind w:right="360" w:firstLine="360"/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  <w:snapToGrid w:val="0"/>
                            <w:ind w:right="360" w:firstLine="360"/>
                            <w:jc w:val="center"/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  <w:snapToGrid w:val="0"/>
                      <w:ind w:right="360" w:firstLine="360"/>
                      <w:jc w:val="center"/>
                    </w:pPr>
                    <w:r>
                      <w:rPr>
                        <w:rFonts w:hint="eastAsia"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>2</w: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98"/>
  <w:drawingGridVerticalSpacing w:val="28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16D3C"/>
    <w:rsid w:val="00016C32"/>
    <w:rsid w:val="0013182F"/>
    <w:rsid w:val="00313AA2"/>
    <w:rsid w:val="004F2DDA"/>
    <w:rsid w:val="00731622"/>
    <w:rsid w:val="00863466"/>
    <w:rsid w:val="009F1AF6"/>
    <w:rsid w:val="00C358FD"/>
    <w:rsid w:val="00C93EC7"/>
    <w:rsid w:val="02FB3158"/>
    <w:rsid w:val="09450156"/>
    <w:rsid w:val="09CA57EF"/>
    <w:rsid w:val="0B236EE2"/>
    <w:rsid w:val="0C1D162B"/>
    <w:rsid w:val="0EFC1870"/>
    <w:rsid w:val="0F7D6630"/>
    <w:rsid w:val="102A6CFF"/>
    <w:rsid w:val="17F80096"/>
    <w:rsid w:val="1B5600E2"/>
    <w:rsid w:val="1D104A7F"/>
    <w:rsid w:val="215A5761"/>
    <w:rsid w:val="21C51A1F"/>
    <w:rsid w:val="23706CFA"/>
    <w:rsid w:val="23755FA0"/>
    <w:rsid w:val="24BF1139"/>
    <w:rsid w:val="25761D14"/>
    <w:rsid w:val="270E6088"/>
    <w:rsid w:val="28147FCD"/>
    <w:rsid w:val="29FB79E3"/>
    <w:rsid w:val="2A4A07AF"/>
    <w:rsid w:val="2E3F5D6B"/>
    <w:rsid w:val="2F37118F"/>
    <w:rsid w:val="2F833235"/>
    <w:rsid w:val="2F8F6BD6"/>
    <w:rsid w:val="2FBE5721"/>
    <w:rsid w:val="31A80CB1"/>
    <w:rsid w:val="344E53B3"/>
    <w:rsid w:val="347A000B"/>
    <w:rsid w:val="35F17B19"/>
    <w:rsid w:val="37C03251"/>
    <w:rsid w:val="38321403"/>
    <w:rsid w:val="3BC00AA4"/>
    <w:rsid w:val="3C8471CD"/>
    <w:rsid w:val="3E035DA8"/>
    <w:rsid w:val="40602D3F"/>
    <w:rsid w:val="40A80643"/>
    <w:rsid w:val="45FF20DD"/>
    <w:rsid w:val="49FA3CEE"/>
    <w:rsid w:val="4AC204E9"/>
    <w:rsid w:val="4BF1210F"/>
    <w:rsid w:val="4CF5377F"/>
    <w:rsid w:val="4F8A0043"/>
    <w:rsid w:val="505031D2"/>
    <w:rsid w:val="510C205F"/>
    <w:rsid w:val="51AF7E0D"/>
    <w:rsid w:val="54443395"/>
    <w:rsid w:val="54FF26E3"/>
    <w:rsid w:val="55081530"/>
    <w:rsid w:val="55E20052"/>
    <w:rsid w:val="569452B5"/>
    <w:rsid w:val="56F16D3C"/>
    <w:rsid w:val="5C6610BA"/>
    <w:rsid w:val="5CD81062"/>
    <w:rsid w:val="5ECE6ADE"/>
    <w:rsid w:val="5FA5494B"/>
    <w:rsid w:val="604C0B05"/>
    <w:rsid w:val="60AC417F"/>
    <w:rsid w:val="65004B1D"/>
    <w:rsid w:val="66EF7D4B"/>
    <w:rsid w:val="67F92C3E"/>
    <w:rsid w:val="687D65CD"/>
    <w:rsid w:val="6A35569A"/>
    <w:rsid w:val="6A712EA1"/>
    <w:rsid w:val="6BD116D9"/>
    <w:rsid w:val="6EDC1243"/>
    <w:rsid w:val="6F670199"/>
    <w:rsid w:val="6FB51CB1"/>
    <w:rsid w:val="7092596A"/>
    <w:rsid w:val="75000313"/>
    <w:rsid w:val="75340481"/>
    <w:rsid w:val="757454F9"/>
    <w:rsid w:val="77687AF9"/>
    <w:rsid w:val="7BAE66FF"/>
    <w:rsid w:val="7BC95880"/>
    <w:rsid w:val="7C1C102D"/>
    <w:rsid w:val="7CAE0A14"/>
    <w:rsid w:val="7DBF10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rFonts w:eastAsia="宋体"/>
      <w:sz w:val="21"/>
      <w:szCs w:val="24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"/>
    <w:basedOn w:val="1"/>
    <w:link w:val="5"/>
    <w:qFormat/>
    <w:uiPriority w:val="0"/>
    <w:rPr>
      <w:rFonts w:eastAsia="宋体"/>
      <w:sz w:val="21"/>
      <w:szCs w:val="24"/>
    </w:rPr>
  </w:style>
  <w:style w:type="character" w:styleId="7">
    <w:name w:val="page number"/>
    <w:basedOn w:val="5"/>
    <w:qFormat/>
    <w:uiPriority w:val="0"/>
  </w:style>
  <w:style w:type="character" w:customStyle="1" w:styleId="8">
    <w:name w:val="font11"/>
    <w:basedOn w:val="5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22"/>
      <w:szCs w:val="22"/>
      <w:u w:val="none"/>
    </w:rPr>
  </w:style>
  <w:style w:type="character" w:customStyle="1" w:styleId="9">
    <w:name w:val="font61"/>
    <w:basedOn w:val="5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36"/>
      <w:szCs w:val="36"/>
      <w:u w:val="none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Other|2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2">
    <w:name w:val="Other|1"/>
    <w:basedOn w:val="1"/>
    <w:qFormat/>
    <w:uiPriority w:val="0"/>
    <w:pPr>
      <w:widowControl w:val="0"/>
      <w:shd w:val="clear" w:color="auto" w:fill="auto"/>
    </w:pPr>
    <w:rPr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2308;2021&#12309;-A4&#20844;&#25991;&#26631;&#20934;&#27169;&#2925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〔2021〕-A4公文标准模版.wpt</Template>
  <Pages>8</Pages>
  <Words>2223</Words>
  <Characters>3073</Characters>
  <Lines>19</Lines>
  <Paragraphs>5</Paragraphs>
  <TotalTime>31</TotalTime>
  <ScaleCrop>false</ScaleCrop>
  <LinksUpToDate>false</LinksUpToDate>
  <CharactersWithSpaces>3078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2021-11-16T03:15:00Z</dcterms:created>
  <dc:creator>a世元印刷广告李</dc:creator>
  <cp:lastModifiedBy>a世元印刷广告李</cp:lastModifiedBy>
  <cp:lastPrinted>2022-02-22T01:03:52Z</cp:lastPrinted>
  <dcterms:modified xsi:type="dcterms:W3CDTF">2022-02-22T01:03:57Z</dcterms:modified>
  <dc:title>西政办〔2020〕6号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SaveFontToCloudKey">
    <vt:lpwstr>279579113_cloud</vt:lpwstr>
  </property>
  <property fmtid="{D5CDD505-2E9C-101B-9397-08002B2CF9AE}" pid="4" name="ICV">
    <vt:lpwstr>8F423AB0A0624D94BD9E143DB236FAEF</vt:lpwstr>
  </property>
</Properties>
</file>